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E68" w:rsidRPr="00CE2E68" w:rsidRDefault="00CE2E68" w:rsidP="00CE2E68">
      <w:pPr>
        <w:spacing w:after="0" w:line="240" w:lineRule="auto"/>
        <w:rPr>
          <w:rFonts w:ascii="Times New Roman" w:eastAsia="Times New Roman" w:hAnsi="Times New Roman" w:cs="Times New Roman"/>
          <w:sz w:val="24"/>
          <w:szCs w:val="24"/>
        </w:rPr>
      </w:pPr>
      <w:r w:rsidRPr="00CE2E68">
        <w:rPr>
          <w:rFonts w:ascii="Arial" w:eastAsia="Times New Roman" w:hAnsi="Arial" w:cs="Arial"/>
          <w:color w:val="1C283D"/>
          <w:sz w:val="15"/>
          <w:szCs w:val="15"/>
          <w:shd w:val="clear" w:color="auto" w:fill="FFFFFF"/>
        </w:rPr>
        <w:t>Resmî Gazete Tarihi: 19.12.2002 Resmî Gazete Sayısı: 24968</w:t>
      </w:r>
      <w:r w:rsidRPr="00CE2E68">
        <w:rPr>
          <w:rFonts w:ascii="Arial" w:eastAsia="Times New Roman" w:hAnsi="Arial" w:cs="Arial"/>
          <w:color w:val="1C283D"/>
          <w:sz w:val="15"/>
          <w:szCs w:val="15"/>
        </w:rPr>
        <w:br/>
      </w:r>
      <w:r w:rsidRPr="00CE2E68">
        <w:rPr>
          <w:rFonts w:ascii="Arial" w:eastAsia="Times New Roman" w:hAnsi="Arial" w:cs="Arial"/>
          <w:color w:val="1C283D"/>
          <w:sz w:val="15"/>
          <w:szCs w:val="15"/>
        </w:rPr>
        <w:br/>
      </w:r>
    </w:p>
    <w:p w:rsidR="00CE2E68" w:rsidRPr="00CE2E68" w:rsidRDefault="00CE2E68" w:rsidP="00CE2E68">
      <w:pPr>
        <w:shd w:val="clear" w:color="auto" w:fill="FFFFFF"/>
        <w:spacing w:after="0" w:line="240" w:lineRule="atLeast"/>
        <w:ind w:firstLine="709"/>
        <w:jc w:val="center"/>
        <w:outlineLvl w:val="1"/>
        <w:rPr>
          <w:rFonts w:ascii="Arial" w:eastAsia="Times New Roman" w:hAnsi="Arial" w:cs="Arial"/>
          <w:b/>
          <w:bCs/>
          <w:color w:val="1C283D"/>
          <w:sz w:val="36"/>
          <w:szCs w:val="36"/>
        </w:rPr>
      </w:pPr>
      <w:r w:rsidRPr="00CE2E68">
        <w:rPr>
          <w:rFonts w:ascii="Arial" w:eastAsia="Times New Roman" w:hAnsi="Arial" w:cs="Arial"/>
          <w:b/>
          <w:bCs/>
          <w:color w:val="1C283D"/>
          <w:sz w:val="20"/>
          <w:szCs w:val="20"/>
        </w:rPr>
        <w:t>HİZMET ALIMLARI MUAYENE VE KABUL YÖNETMELİĞİ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BİRİNCİ BÖLÜM</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Genel Hükümler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jc w:val="both"/>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Amaç</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 </w:t>
      </w:r>
      <w:r w:rsidRPr="00CE2E68">
        <w:rPr>
          <w:rFonts w:ascii="Arial" w:eastAsia="Times New Roman" w:hAnsi="Arial" w:cs="Arial"/>
          <w:color w:val="1C283D"/>
          <w:sz w:val="20"/>
          <w:szCs w:val="20"/>
        </w:rPr>
        <w:t>Bu Yönetmeliğin amacı, teslim edilen hizmet işinin muayene ve kabul işlemleri ile muayene ve kabul komisyonlarının kuruluş ve çalışma esas ve usullerini tespit etmektir.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15"/>
          <w:szCs w:val="15"/>
        </w:rPr>
        <w:t> </w:t>
      </w:r>
      <w:r w:rsidRPr="00CE2E68">
        <w:rPr>
          <w:rFonts w:ascii="Arial" w:eastAsia="Times New Roman" w:hAnsi="Arial" w:cs="Arial"/>
          <w:b/>
          <w:bCs/>
          <w:color w:val="1C283D"/>
          <w:sz w:val="20"/>
        </w:rPr>
        <w:t>Kapsam</w:t>
      </w:r>
    </w:p>
    <w:p w:rsidR="00CE2E68" w:rsidRPr="00CE2E68" w:rsidRDefault="00CE2E68" w:rsidP="00CE2E68">
      <w:pPr>
        <w:shd w:val="clear" w:color="auto" w:fill="FFFFFF"/>
        <w:spacing w:after="0" w:line="240" w:lineRule="atLeast"/>
        <w:ind w:firstLine="709"/>
        <w:outlineLvl w:val="7"/>
        <w:rPr>
          <w:rFonts w:ascii="Arial" w:eastAsia="Times New Roman" w:hAnsi="Arial" w:cs="Arial"/>
          <w:color w:val="1C283D"/>
          <w:sz w:val="15"/>
          <w:szCs w:val="15"/>
        </w:rPr>
      </w:pPr>
      <w:proofErr w:type="gramStart"/>
      <w:r w:rsidRPr="00CE2E68">
        <w:rPr>
          <w:rFonts w:ascii="Arial" w:eastAsia="Times New Roman" w:hAnsi="Arial" w:cs="Arial"/>
          <w:b/>
          <w:bCs/>
          <w:color w:val="1C283D"/>
          <w:sz w:val="20"/>
        </w:rPr>
        <w:t>Madde 2- </w:t>
      </w:r>
      <w:r w:rsidRPr="00CE2E68">
        <w:rPr>
          <w:rFonts w:ascii="Arial" w:eastAsia="Times New Roman" w:hAnsi="Arial" w:cs="Arial"/>
          <w:color w:val="1C283D"/>
          <w:sz w:val="20"/>
          <w:szCs w:val="20"/>
        </w:rPr>
        <w:t>Bu Yönetmelik, 4734 sayılı Kamu İhale Kanunu kapsamındaki kamu kurum ve kuruluşlarının, bu Kanun hükümlerine göre yaptıkları ihaleler sonucunda  idareye teslim edilen hizmet işlerinin muayene ve kabul işlemleri için 4735 sayılı Kamu İhale Sözleşmeleri Kanununun 11 inci maddesi uyarınca kuracakları muayene ve kabul komisyonlarının kuruluş ve çalışma esasları ile muayene ve kabul işlemlerinde uygulanacak esas ve usulleri kapsar.</w:t>
      </w:r>
      <w:proofErr w:type="gramEnd"/>
    </w:p>
    <w:p w:rsidR="00CE2E68" w:rsidRPr="00CE2E68" w:rsidRDefault="00CE2E68" w:rsidP="00CE2E68">
      <w:pPr>
        <w:shd w:val="clear" w:color="auto" w:fill="FFFFFF"/>
        <w:spacing w:after="0" w:line="240" w:lineRule="atLeast"/>
        <w:ind w:firstLine="709"/>
        <w:jc w:val="both"/>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Dayanak</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3</w:t>
      </w:r>
      <w:r w:rsidRPr="00CE2E68">
        <w:rPr>
          <w:rFonts w:ascii="Arial" w:eastAsia="Times New Roman" w:hAnsi="Arial" w:cs="Arial"/>
          <w:color w:val="1C283D"/>
          <w:sz w:val="20"/>
          <w:szCs w:val="20"/>
        </w:rPr>
        <w:t>- Bu Yönetmelik, 4734 sayılı Kamu İhale Kanununun 53 üncü maddesine dayanılarak hazırlanmıştır.</w:t>
      </w:r>
    </w:p>
    <w:p w:rsidR="00CE2E68" w:rsidRPr="00CE2E68" w:rsidRDefault="00CE2E68" w:rsidP="00CE2E68">
      <w:pPr>
        <w:shd w:val="clear" w:color="auto" w:fill="FFFFFF"/>
        <w:spacing w:after="0" w:line="240" w:lineRule="atLeast"/>
        <w:ind w:firstLine="709"/>
        <w:jc w:val="both"/>
        <w:outlineLvl w:val="1"/>
        <w:rPr>
          <w:rFonts w:ascii="Arial" w:eastAsia="Times New Roman" w:hAnsi="Arial" w:cs="Arial"/>
          <w:b/>
          <w:bCs/>
          <w:color w:val="1C283D"/>
          <w:sz w:val="36"/>
          <w:szCs w:val="36"/>
        </w:rPr>
      </w:pPr>
      <w:r w:rsidRPr="00CE2E68">
        <w:rPr>
          <w:rFonts w:ascii="Arial" w:eastAsia="Times New Roman" w:hAnsi="Arial" w:cs="Arial"/>
          <w:b/>
          <w:bCs/>
          <w:color w:val="1C283D"/>
          <w:sz w:val="20"/>
          <w:szCs w:val="20"/>
        </w:rPr>
        <w:t>İlkeler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4- </w:t>
      </w:r>
      <w:r w:rsidRPr="00CE2E68">
        <w:rPr>
          <w:rFonts w:ascii="Arial" w:eastAsia="Times New Roman" w:hAnsi="Arial" w:cs="Arial"/>
          <w:color w:val="1C283D"/>
          <w:sz w:val="20"/>
          <w:szCs w:val="20"/>
        </w:rPr>
        <w:t>Taahhüt konusu hizmet yerine getirilmedikçe muayene ve kabul işlemleri yapılamaz.</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Muayene ve kabul işlemlerinin hangi süre içinde tamamlanacağının sözleşme ve eklerinde belirtilmesi zorunludur.</w:t>
      </w:r>
    </w:p>
    <w:p w:rsidR="00CE2E68" w:rsidRPr="00CE2E68" w:rsidRDefault="00CE2E68" w:rsidP="00CE2E68">
      <w:pPr>
        <w:shd w:val="clear" w:color="auto" w:fill="FFFFFF"/>
        <w:spacing w:after="0" w:line="240" w:lineRule="atLeast"/>
        <w:ind w:firstLine="709"/>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İKİNCİ BÖLÜM</w:t>
      </w:r>
    </w:p>
    <w:p w:rsidR="00CE2E68" w:rsidRPr="00CE2E68" w:rsidRDefault="00CE2E68" w:rsidP="00CE2E68">
      <w:pPr>
        <w:shd w:val="clear" w:color="auto" w:fill="FFFFFF"/>
        <w:spacing w:after="0" w:line="240" w:lineRule="atLeast"/>
        <w:ind w:firstLine="709"/>
        <w:jc w:val="center"/>
        <w:outlineLvl w:val="5"/>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Muayene ve Kabul Komisyonlarının Kuruluşu ve Görevleri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Muayene ve kabul komisyonlarının kuruluşu</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5-</w:t>
      </w:r>
      <w:r w:rsidRPr="00CE2E68">
        <w:rPr>
          <w:rFonts w:ascii="Arial" w:eastAsia="Times New Roman" w:hAnsi="Arial" w:cs="Arial"/>
          <w:color w:val="1C283D"/>
          <w:sz w:val="20"/>
          <w:szCs w:val="20"/>
        </w:rPr>
        <w:t> Muayene ve kabul komisyonları, yetkili makam tarafından, biri başkan olmak üzere en az üç (3) kişiden oluşturulur. İşin önemi ve özelliği dikkate alınarak komisyonun üye sayısı, toplam sayı tek olmak üzere yeteri kadar arttırılabilir.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Bu komisyonlarda görevlendirilecek olanların tamamının işin uzmanı olması zorunludur. Ancak, ilgili idarede yeterli sayıda veya işin özelliğine uygun nitelikte uzman personel bulunmaması durumunda, 4734 sayılı Kanuna tabi idarelerden uzman personel görevlendirilebilir.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İşin denetiminde bulunan kontrol teşkilatı üyeleri, muayene ve kabul komisyonlarında üye olarak görev alamaz. Ancak, kontrol teşkilatı üyelerinin muayene ve kabul komisyonu ile birlikte işyerinde, işyeri öngörülmeyen işlerde ise sözleşmesinde işin kabulü için belirlenen yerde hazır bulunması zorunludur.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Muayene ve kabul komisyonlarının görevleri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6- </w:t>
      </w:r>
      <w:r w:rsidRPr="00CE2E68">
        <w:rPr>
          <w:rFonts w:ascii="Arial" w:eastAsia="Times New Roman" w:hAnsi="Arial" w:cs="Arial"/>
          <w:color w:val="1C283D"/>
          <w:sz w:val="20"/>
          <w:szCs w:val="20"/>
        </w:rPr>
        <w:t xml:space="preserve">Muayene ve kabul komisyonu,  8 inci maddede belirtilen hükümlere göre kurulduğu tarihten </w:t>
      </w:r>
      <w:proofErr w:type="gramStart"/>
      <w:r w:rsidRPr="00CE2E68">
        <w:rPr>
          <w:rFonts w:ascii="Arial" w:eastAsia="Times New Roman" w:hAnsi="Arial" w:cs="Arial"/>
          <w:color w:val="1C283D"/>
          <w:sz w:val="20"/>
          <w:szCs w:val="20"/>
        </w:rPr>
        <w:t>itibaren,on</w:t>
      </w:r>
      <w:proofErr w:type="gramEnd"/>
      <w:r w:rsidRPr="00CE2E68">
        <w:rPr>
          <w:rFonts w:ascii="Arial" w:eastAsia="Times New Roman" w:hAnsi="Arial" w:cs="Arial"/>
          <w:color w:val="1C283D"/>
          <w:sz w:val="20"/>
          <w:szCs w:val="20"/>
        </w:rPr>
        <w:t xml:space="preserve"> (10) günü geçmemek üzere idarece belirlenen süre  içinde işyerine, işyeri öngörülmeyen işlerde ise sözleşmesinde işin kabulü için belirlenen yere giderek yüklenici tarafından gerçekleştirilen işleri Hizmet İşleri Genel Şartnamesinin 44 - 49 uncu maddelerine göre inceler, muayene eder ve işin niteliğinin ihtiyaç göstermesi halinde gerekli gördüğü kısımların incelemesini ve gerekli görürse işletme ve çalışma deneylerini yapar. Kabule engel bir durum bulunmadığı </w:t>
      </w:r>
      <w:proofErr w:type="gramStart"/>
      <w:r w:rsidRPr="00CE2E68">
        <w:rPr>
          <w:rFonts w:ascii="Arial" w:eastAsia="Times New Roman" w:hAnsi="Arial" w:cs="Arial"/>
          <w:color w:val="1C283D"/>
          <w:sz w:val="20"/>
          <w:szCs w:val="20"/>
        </w:rPr>
        <w:t>taktirde</w:t>
      </w:r>
      <w:proofErr w:type="gramEnd"/>
      <w:r w:rsidRPr="00CE2E68">
        <w:rPr>
          <w:rFonts w:ascii="Arial" w:eastAsia="Times New Roman" w:hAnsi="Arial" w:cs="Arial"/>
          <w:color w:val="1C283D"/>
          <w:sz w:val="20"/>
          <w:szCs w:val="20"/>
        </w:rPr>
        <w:t>, işin kabulünü yapar.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Yukarıda belirlenen süre, gerekmesi halinde yetkili makam tarafından uzatılabilir.</w:t>
      </w:r>
    </w:p>
    <w:p w:rsidR="00CE2E68" w:rsidRPr="00CE2E68" w:rsidRDefault="00CE2E68" w:rsidP="00CE2E68">
      <w:pPr>
        <w:shd w:val="clear" w:color="auto" w:fill="FFFFFF"/>
        <w:spacing w:after="0" w:line="240" w:lineRule="atLeast"/>
        <w:ind w:firstLine="709"/>
        <w:jc w:val="both"/>
        <w:outlineLvl w:val="3"/>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 Muayene ve kabul komisyonlarının kararları</w:t>
      </w:r>
    </w:p>
    <w:p w:rsidR="00CE2E68" w:rsidRPr="00CE2E68" w:rsidRDefault="00CE2E68" w:rsidP="00CE2E68">
      <w:pPr>
        <w:shd w:val="clear" w:color="auto" w:fill="FFFFFF"/>
        <w:spacing w:after="0" w:line="240" w:lineRule="atLeast"/>
        <w:ind w:firstLine="709"/>
        <w:jc w:val="both"/>
        <w:outlineLvl w:val="3"/>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Madde 7</w:t>
      </w:r>
      <w:r w:rsidRPr="00CE2E68">
        <w:rPr>
          <w:rFonts w:ascii="Arial" w:eastAsia="Times New Roman" w:hAnsi="Arial" w:cs="Arial"/>
          <w:color w:val="1C283D"/>
          <w:sz w:val="20"/>
          <w:szCs w:val="20"/>
        </w:rPr>
        <w:t>- Muayene ve kabul komisyonları eksiksiz olarak görev yapar ve kararlarını çoğunlukla alır. Kararlarda çekimser kalınamaz. Çoğunluk kararına karşı olanlar, karşı olma nedenlerini kararın altına yazarak imzalamak zorundadır.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ÜÇÜNCÜ BÖLÜM</w:t>
      </w:r>
    </w:p>
    <w:p w:rsidR="00CE2E68" w:rsidRPr="00CE2E68" w:rsidRDefault="00CE2E68" w:rsidP="00CE2E68">
      <w:pPr>
        <w:shd w:val="clear" w:color="auto" w:fill="FFFFFF"/>
        <w:spacing w:after="0" w:line="240" w:lineRule="atLeast"/>
        <w:ind w:firstLine="709"/>
        <w:jc w:val="center"/>
        <w:outlineLvl w:val="1"/>
        <w:rPr>
          <w:rFonts w:ascii="Arial" w:eastAsia="Times New Roman" w:hAnsi="Arial" w:cs="Arial"/>
          <w:b/>
          <w:bCs/>
          <w:color w:val="1C283D"/>
          <w:sz w:val="36"/>
          <w:szCs w:val="36"/>
        </w:rPr>
      </w:pPr>
      <w:r w:rsidRPr="00CE2E68">
        <w:rPr>
          <w:rFonts w:ascii="Arial" w:eastAsia="Times New Roman" w:hAnsi="Arial" w:cs="Arial"/>
          <w:b/>
          <w:bCs/>
          <w:color w:val="1C283D"/>
          <w:sz w:val="20"/>
          <w:szCs w:val="20"/>
        </w:rPr>
        <w:t>Muayene ve Kabul İşlemleri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Kabul başvurusu</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lastRenderedPageBreak/>
        <w:t>Madde 8- </w:t>
      </w:r>
      <w:r w:rsidRPr="00CE2E68">
        <w:rPr>
          <w:rFonts w:ascii="Arial" w:eastAsia="Times New Roman" w:hAnsi="Arial" w:cs="Arial"/>
          <w:color w:val="1C283D"/>
          <w:sz w:val="20"/>
          <w:szCs w:val="20"/>
        </w:rPr>
        <w:t>Sözleşme konusu iş tamamlandığında</w:t>
      </w:r>
      <w:r w:rsidRPr="00CE2E68">
        <w:rPr>
          <w:rFonts w:ascii="Arial" w:eastAsia="Times New Roman" w:hAnsi="Arial" w:cs="Arial"/>
          <w:b/>
          <w:bCs/>
          <w:color w:val="1C283D"/>
          <w:sz w:val="20"/>
          <w:szCs w:val="20"/>
        </w:rPr>
        <w:t> </w:t>
      </w:r>
      <w:r w:rsidRPr="00CE2E68">
        <w:rPr>
          <w:rFonts w:ascii="Arial" w:eastAsia="Times New Roman" w:hAnsi="Arial" w:cs="Arial"/>
          <w:color w:val="1C283D"/>
          <w:sz w:val="20"/>
          <w:szCs w:val="20"/>
        </w:rPr>
        <w:t> yüklenici yapılmış olan hizmet işinin kabulün yapılması için idareye yazılı olarak başvuruda bulunur. Bu başvuru üzerine, kontrol teşkilatınca yapılan ön inceleme sonucunda işin kabule uygun bulunması halinde durum, “Hizmet İşleri Kabul Teklif Belgesi” (standart form-KİK56.0/H) düzenlenmek suretiyle yetkili makama bildirilir. Hizmet İşleri Kabul Teklif Belgesinin yetkili makama sunulduğu tarihten itibaren on (10) günü geçmemek üzere idarece belirlenecek süre  içinde yetkili makamca, Yönetmeliğin 5 inci maddesine göre, muayene ve kabul komisyonu oluşturulur ve durum yükleniciye yazılı olarak bildirilir.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Kontrol teşkilatı tarafından hizmette önemli ve hizmetin fonksiyonelliğini engellediği için idarenin ihtiyacını karşılama açısından kabul edilemez eksiklik veya kusurların bulunduğu tespit edilirse durum idareye bildirilir ve kabul aşamasına geçilmeyerek Hizmet İşleri Genel Şartnamesinin 44 üncü maddesinin (a) fıkrası hükümlerine göre hareket edilir.</w:t>
      </w:r>
    </w:p>
    <w:p w:rsidR="00CE2E68" w:rsidRPr="00CE2E68" w:rsidRDefault="00CE2E68" w:rsidP="00CE2E68">
      <w:pPr>
        <w:shd w:val="clear" w:color="auto" w:fill="FFFFFF"/>
        <w:spacing w:after="0" w:line="240" w:lineRule="atLeast"/>
        <w:ind w:firstLine="709"/>
        <w:jc w:val="both"/>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Kabul tutanağının düzenlenmesi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9</w:t>
      </w:r>
      <w:r w:rsidRPr="00CE2E68">
        <w:rPr>
          <w:rFonts w:ascii="Arial" w:eastAsia="Times New Roman" w:hAnsi="Arial" w:cs="Arial"/>
          <w:color w:val="1C283D"/>
          <w:sz w:val="20"/>
          <w:szCs w:val="20"/>
        </w:rPr>
        <w:t>- Muayene ve kabul komisyonu işyerine giderek Hizmet İşleri Genel Şartnamesinin 44- 49 uncu maddelerinde yazılı hükümlere göre işi inceler, muayene eder ve gerekli gördüğü kısımların işletme ve çalışma deneylerini yapar.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Temizlik, </w:t>
      </w:r>
      <w:proofErr w:type="gramStart"/>
      <w:r w:rsidRPr="00CE2E68">
        <w:rPr>
          <w:rFonts w:ascii="Arial" w:eastAsia="Times New Roman" w:hAnsi="Arial" w:cs="Arial"/>
          <w:color w:val="1C283D"/>
          <w:sz w:val="20"/>
          <w:szCs w:val="20"/>
        </w:rPr>
        <w:t>yemek , taşıma</w:t>
      </w:r>
      <w:proofErr w:type="gramEnd"/>
      <w:r w:rsidRPr="00CE2E68">
        <w:rPr>
          <w:rFonts w:ascii="Arial" w:eastAsia="Times New Roman" w:hAnsi="Arial" w:cs="Arial"/>
          <w:color w:val="1C283D"/>
          <w:sz w:val="20"/>
          <w:szCs w:val="20"/>
        </w:rPr>
        <w:t xml:space="preserve"> gibi aynı hizmetin belli periyotlarla tekrarlanması suretiyle ifa edilen sürekli nitelikli işlerde kontrol teşkilatının , işin yürütülmesi sırasında tuttuğu kayıtlar esas alınarak Hizmet İşleri Genel Şartnamesinin 44 üncü maddesinin (b) fıkrasındaki hükümlere göre kabul işlemleri gerçekleştirilir.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Muayene ve kabul komisyonu, yaptığı inceleme ve muayene sonunda işi kabule hazır bulduğu takdirde, “Kabul Tutanağı” </w:t>
      </w:r>
      <w:proofErr w:type="spellStart"/>
      <w:r w:rsidRPr="00CE2E68">
        <w:rPr>
          <w:rFonts w:ascii="Arial" w:eastAsia="Times New Roman" w:hAnsi="Arial" w:cs="Arial"/>
          <w:color w:val="1C283D"/>
          <w:sz w:val="20"/>
          <w:szCs w:val="20"/>
        </w:rPr>
        <w:t>nı</w:t>
      </w:r>
      <w:proofErr w:type="spellEnd"/>
      <w:r w:rsidRPr="00CE2E68">
        <w:rPr>
          <w:rFonts w:ascii="Arial" w:eastAsia="Times New Roman" w:hAnsi="Arial" w:cs="Arial"/>
          <w:color w:val="1C283D"/>
          <w:sz w:val="20"/>
          <w:szCs w:val="20"/>
        </w:rPr>
        <w:t>  (standart form KİK57.0/H) yeterli sayıda düzenler. Bu tutanak yüklenici tarafından imzalanır.</w:t>
      </w:r>
    </w:p>
    <w:p w:rsidR="00CE2E68" w:rsidRPr="00CE2E68" w:rsidRDefault="00CE2E68" w:rsidP="00CE2E68">
      <w:pPr>
        <w:shd w:val="clear" w:color="auto" w:fill="FFFFFF"/>
        <w:spacing w:after="0" w:line="240" w:lineRule="atLeast"/>
        <w:ind w:firstLine="709"/>
        <w:jc w:val="both"/>
        <w:outlineLvl w:val="2"/>
        <w:rPr>
          <w:rFonts w:ascii="Arial" w:eastAsia="Times New Roman" w:hAnsi="Arial" w:cs="Arial"/>
          <w:b/>
          <w:bCs/>
          <w:color w:val="1C283D"/>
          <w:sz w:val="27"/>
          <w:szCs w:val="27"/>
        </w:rPr>
      </w:pPr>
      <w:r w:rsidRPr="00CE2E68">
        <w:rPr>
          <w:rFonts w:ascii="Arial" w:eastAsia="Times New Roman" w:hAnsi="Arial" w:cs="Arial"/>
          <w:b/>
          <w:bCs/>
          <w:color w:val="1C283D"/>
          <w:sz w:val="20"/>
          <w:szCs w:val="20"/>
        </w:rPr>
        <w:t>Kabulde görülecek kusur ve noksanlar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Madde 10- </w:t>
      </w:r>
      <w:r w:rsidRPr="00CE2E68">
        <w:rPr>
          <w:rFonts w:ascii="Arial" w:eastAsia="Times New Roman" w:hAnsi="Arial" w:cs="Arial"/>
          <w:color w:val="1C283D"/>
          <w:sz w:val="20"/>
          <w:szCs w:val="20"/>
        </w:rPr>
        <w:t>a</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Kabul sırasında tespit edilen kusur ve noksanlıkların kabul yapılmasına engel olmayacak nitelikte bulunması halinde kabul tutanağı düzenlenir. Ancak kusur ve noksanlıklar tutanakta açıkça gösterilir ve tamamlanmaları için verilen süre tutanakta belirtilir. Bu şekilde tanzim edilen tutanaktan birer nüsha kontrol teşkilatına ve yükleniciye verilir.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Kabul tutanağı, kusur ve noksanlıkların tamamlandığının kontrol teşkilatı tarafından tespit edilmesi ve bu tespitin, tutanağın altına yazılmasından sonra işleme konulur.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b) Kabul sırasında tespit edilen kusur ve noksanlıklar kabule engel olacak nitelikte bulunduğu takdirde; kabulü engelleyen kusur ve eksiklikler bir tutanakla tespit edilir ve kabul işlemi yapılmaksızın kusur ve eksikliklerin giderilmesi için bir süre belirlenerek durum idareye bildirilir. Kabul muayenesi noksan ve kusurların giderilmesinden sonraya bırakılır. İdare bu kusur ve eksikliklerin giderilmesi hususunu yükleniciye bildirir.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Muayene ve kabul komisyonunca öngörülen sürede kusur ve noksanlıklar yüklenici tarafından tamamlanmadığı durumda, idare Hizmet İşleri Genel Şartnamesinin 44 üncü madde hükümlerine göre kusur ve noksanlıkları yüklenici nam ve hesabına tamamlatır veya eksik işler için tespit edilen bedel yüklenici için alacaklarından, yetmezse teminatından tahsil edilerek kabul işlemi tekemmül ettirilir.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Kabul tutanağının onayı</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11</w:t>
      </w:r>
      <w:r w:rsidRPr="00CE2E68">
        <w:rPr>
          <w:rFonts w:ascii="Arial" w:eastAsia="Times New Roman" w:hAnsi="Arial" w:cs="Arial"/>
          <w:color w:val="1C283D"/>
          <w:sz w:val="20"/>
          <w:szCs w:val="20"/>
        </w:rPr>
        <w:t>- Kabul tutanağı yetkili makam tarafından onaylandıktan sonra geçerli olur ve kabul işlemi tamamlanmış sayılır.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Kabul tutanağının yetkili makam tarafından onaylanmasından sonra yüklenicinin sözleşme konusu işten dolayı idareye karşı, herhangi bir sorumluluğu kalmaz. Ancak 4735 sayılı Kamu İhale Sözleşmeleri Kanununun 13 üncü ve 34 üncü maddeleri hükümleri ile Hizmet İşleri Genel Şartnamesinin 13 üncü maddesindeki gizlilikle ilgili hükümler saklıdır.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DÖRDÜNCÜ BÖLÜM</w:t>
      </w:r>
    </w:p>
    <w:p w:rsidR="00CE2E68" w:rsidRPr="00CE2E68" w:rsidRDefault="00CE2E68" w:rsidP="00CE2E68">
      <w:pPr>
        <w:shd w:val="clear" w:color="auto" w:fill="FFFFFF"/>
        <w:spacing w:after="0" w:line="240" w:lineRule="atLeast"/>
        <w:ind w:firstLine="709"/>
        <w:jc w:val="center"/>
        <w:outlineLvl w:val="4"/>
        <w:rPr>
          <w:rFonts w:ascii="Arial" w:eastAsia="Times New Roman" w:hAnsi="Arial" w:cs="Arial"/>
          <w:b/>
          <w:bCs/>
          <w:color w:val="1C283D"/>
          <w:sz w:val="20"/>
          <w:szCs w:val="20"/>
        </w:rPr>
      </w:pPr>
      <w:r w:rsidRPr="00CE2E68">
        <w:rPr>
          <w:rFonts w:ascii="Arial" w:eastAsia="Times New Roman" w:hAnsi="Arial" w:cs="Arial"/>
          <w:b/>
          <w:bCs/>
          <w:color w:val="1C283D"/>
          <w:sz w:val="20"/>
          <w:szCs w:val="20"/>
        </w:rPr>
        <w:t>Diğer Hükümler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outlineLvl w:val="3"/>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Kısmi kabul yapılması</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12- </w:t>
      </w:r>
      <w:r w:rsidRPr="00CE2E68">
        <w:rPr>
          <w:rFonts w:ascii="Arial" w:eastAsia="Times New Roman" w:hAnsi="Arial" w:cs="Arial"/>
          <w:color w:val="1C283D"/>
          <w:sz w:val="20"/>
          <w:szCs w:val="20"/>
        </w:rPr>
        <w:t>İhale dokümanında belirtilmiş olması şartıyla, taahhüt konusu işin tamamlanmış bölümleri için kısmi kabul yapılabilir. Kısmi kabul yapılan bölümler için bu Yönetmelik esasları aynen uygulanır.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İşin süresinden önce bitirilmesi</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13- </w:t>
      </w:r>
      <w:r w:rsidRPr="00CE2E68">
        <w:rPr>
          <w:rFonts w:ascii="Arial" w:eastAsia="Times New Roman" w:hAnsi="Arial" w:cs="Arial"/>
          <w:color w:val="1C283D"/>
          <w:sz w:val="20"/>
          <w:szCs w:val="20"/>
        </w:rPr>
        <w:t>İşin süresinden önce bitirilmesi durumunda, yüklenicinin başvurusu üzerine, idarenin uygun görmesi  ve ek maliyet getirmemesi  halinde, işin sözleşmesindeki bitim tarihini beklemeksizin bu Yönetmelik hükümlerine uygun olarak işin kabulünü yapabilir.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lastRenderedPageBreak/>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outlineLvl w:val="7"/>
        <w:rPr>
          <w:rFonts w:ascii="Arial" w:eastAsia="Times New Roman" w:hAnsi="Arial" w:cs="Arial"/>
          <w:color w:val="1C283D"/>
          <w:sz w:val="15"/>
          <w:szCs w:val="15"/>
        </w:rPr>
      </w:pPr>
      <w:r w:rsidRPr="00CE2E68">
        <w:rPr>
          <w:rFonts w:ascii="Arial" w:eastAsia="Times New Roman" w:hAnsi="Arial" w:cs="Arial"/>
          <w:b/>
          <w:bCs/>
          <w:color w:val="1C283D"/>
          <w:sz w:val="20"/>
        </w:rPr>
        <w:t>Sorumluluk</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rPr>
        <w:t>Madde 14- </w:t>
      </w:r>
      <w:r w:rsidRPr="00CE2E68">
        <w:rPr>
          <w:rFonts w:ascii="Arial" w:eastAsia="Times New Roman" w:hAnsi="Arial" w:cs="Arial"/>
          <w:color w:val="1C283D"/>
          <w:sz w:val="20"/>
          <w:szCs w:val="20"/>
        </w:rPr>
        <w:t>Muayene ve kabul komisyonu başkan ve üyeleri, kontrol teşkilatı üyeleri ile diğer ilgililerin görevlerini kanuni gereklere uygun veya tarafsızlıkla yapmadıklarının, taraflardan birinin zararına yol açacak ihmalde veya kusurlu hareketlerde bulunduklarının tespiti halinde, haklarında ilgili mevzuatları gereğince disiplin cezası uygulanır.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Ayrıca, fiil veya davranışlarının özelliğine göre haklarında ceza kovuşturması da yapılır ve hükmolunacak ceza ile birlikte tarafların uğradıkları zarar ve ziyan genel hükümlere göre kendilerine tazmin ettirilir.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outlineLvl w:val="3"/>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Yürürlük</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15-</w:t>
      </w:r>
      <w:r w:rsidRPr="00CE2E68">
        <w:rPr>
          <w:rFonts w:ascii="Arial" w:eastAsia="Times New Roman" w:hAnsi="Arial" w:cs="Arial"/>
          <w:color w:val="1C283D"/>
          <w:sz w:val="20"/>
          <w:szCs w:val="20"/>
        </w:rPr>
        <w:t> Bu Yönetmelik 01.01.2003 tarihinde yürürlüğe girer.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outlineLvl w:val="3"/>
        <w:rPr>
          <w:rFonts w:ascii="Arial" w:eastAsia="Times New Roman" w:hAnsi="Arial" w:cs="Arial"/>
          <w:b/>
          <w:bCs/>
          <w:color w:val="1C283D"/>
          <w:sz w:val="15"/>
          <w:szCs w:val="15"/>
        </w:rPr>
      </w:pPr>
      <w:r w:rsidRPr="00CE2E68">
        <w:rPr>
          <w:rFonts w:ascii="Arial" w:eastAsia="Times New Roman" w:hAnsi="Arial" w:cs="Arial"/>
          <w:b/>
          <w:bCs/>
          <w:color w:val="1C283D"/>
          <w:sz w:val="20"/>
          <w:szCs w:val="20"/>
        </w:rPr>
        <w:t>Yürütme</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b/>
          <w:bCs/>
          <w:color w:val="1C283D"/>
          <w:sz w:val="20"/>
          <w:szCs w:val="20"/>
        </w:rPr>
        <w:t>Madde 16-</w:t>
      </w:r>
      <w:r w:rsidRPr="00CE2E68">
        <w:rPr>
          <w:rFonts w:ascii="Arial" w:eastAsia="Times New Roman" w:hAnsi="Arial" w:cs="Arial"/>
          <w:color w:val="1C283D"/>
          <w:sz w:val="20"/>
          <w:szCs w:val="20"/>
        </w:rPr>
        <w:t> Bu Yönetmelik hükümlerini Kamu İhale Kurumu Başkanı yürütür.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center"/>
        <w:rPr>
          <w:rFonts w:ascii="Arial" w:eastAsia="Times New Roman" w:hAnsi="Arial" w:cs="Arial"/>
          <w:color w:val="1C283D"/>
          <w:sz w:val="15"/>
          <w:szCs w:val="15"/>
        </w:rPr>
      </w:pPr>
      <w:r w:rsidRPr="00CE2E68">
        <w:rPr>
          <w:rFonts w:ascii="Arial" w:eastAsia="Times New Roman" w:hAnsi="Arial" w:cs="Arial"/>
          <w:b/>
          <w:bCs/>
          <w:color w:val="1C283D"/>
          <w:sz w:val="20"/>
        </w:rPr>
        <w:lastRenderedPageBreak/>
        <w:t>HİZMET İŞLERİ KABUL TEKLİF BELGESİ</w:t>
      </w:r>
      <w:r w:rsidRPr="00CE2E68">
        <w:rPr>
          <w:rFonts w:ascii="Arial" w:eastAsia="Times New Roman" w:hAnsi="Arial" w:cs="Arial"/>
          <w:b/>
          <w:bCs/>
          <w:color w:val="1C283D"/>
          <w:sz w:val="20"/>
          <w:vertAlign w:val="superscript"/>
        </w:rPr>
        <w:t>(1)</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tbl>
      <w:tblPr>
        <w:tblW w:w="9070" w:type="dxa"/>
        <w:shd w:val="clear" w:color="auto" w:fill="FFFFFF"/>
        <w:tblCellMar>
          <w:left w:w="0" w:type="dxa"/>
          <w:right w:w="0" w:type="dxa"/>
        </w:tblCellMar>
        <w:tblLook w:val="04A0"/>
      </w:tblPr>
      <w:tblGrid>
        <w:gridCol w:w="4930"/>
        <w:gridCol w:w="360"/>
        <w:gridCol w:w="3780"/>
      </w:tblGrid>
      <w:tr w:rsidR="00CE2E68" w:rsidRPr="00CE2E68" w:rsidTr="00CE2E68">
        <w:tc>
          <w:tcPr>
            <w:tcW w:w="4930" w:type="dxa"/>
            <w:tcBorders>
              <w:top w:val="dashed" w:sz="8" w:space="0" w:color="FFFFFF"/>
              <w:left w:val="dashed" w:sz="8" w:space="0" w:color="FFFFFF"/>
              <w:bottom w:val="single"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İşin adı</w:t>
            </w:r>
          </w:p>
        </w:tc>
        <w:tc>
          <w:tcPr>
            <w:tcW w:w="360" w:type="dxa"/>
            <w:tcBorders>
              <w:top w:val="single" w:sz="8" w:space="0" w:color="FFFFFF"/>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single" w:sz="8" w:space="0" w:color="FFFFFF"/>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Yüklenicinin adı/ticari unvanı</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 tarihi</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 bedeli</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Sözleşmeye göre işin süresi (takvim günü)</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Sözleşmeye göre işin bitirilmesi gereken tarih</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Varsa süre uzatımları</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xml:space="preserve">Süre uzatımı </w:t>
            </w:r>
            <w:proofErr w:type="gramStart"/>
            <w:r w:rsidRPr="00CE2E68">
              <w:rPr>
                <w:rFonts w:ascii="Times New Roman" w:eastAsia="Times New Roman" w:hAnsi="Times New Roman" w:cs="Times New Roman"/>
                <w:color w:val="1C283D"/>
                <w:sz w:val="20"/>
                <w:szCs w:val="20"/>
              </w:rPr>
              <w:t>dahil</w:t>
            </w:r>
            <w:proofErr w:type="gramEnd"/>
            <w:r w:rsidRPr="00CE2E68">
              <w:rPr>
                <w:rFonts w:ascii="Times New Roman" w:eastAsia="Times New Roman" w:hAnsi="Times New Roman" w:cs="Times New Roman"/>
                <w:color w:val="1C283D"/>
                <w:sz w:val="20"/>
                <w:szCs w:val="20"/>
              </w:rPr>
              <w:t xml:space="preserve"> işin bitirilmesi gereken tarih</w:t>
            </w:r>
          </w:p>
        </w:tc>
        <w:tc>
          <w:tcPr>
            <w:tcW w:w="360" w:type="dxa"/>
            <w:tcBorders>
              <w:top w:val="nil"/>
              <w:left w:val="nil"/>
              <w:bottom w:val="dashed"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r w:rsidR="00CE2E68" w:rsidRPr="00CE2E68" w:rsidTr="00CE2E68">
        <w:tc>
          <w:tcPr>
            <w:tcW w:w="4930" w:type="dxa"/>
            <w:tcBorders>
              <w:top w:val="nil"/>
              <w:left w:val="dashed" w:sz="8" w:space="0" w:color="FFFFFF"/>
              <w:bottom w:val="single" w:sz="8" w:space="0" w:color="FFFFFF"/>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İşin bitirildiği tarih</w:t>
            </w:r>
          </w:p>
        </w:tc>
        <w:tc>
          <w:tcPr>
            <w:tcW w:w="360" w:type="dxa"/>
            <w:tcBorders>
              <w:top w:val="nil"/>
              <w:left w:val="nil"/>
              <w:bottom w:val="single" w:sz="8" w:space="0" w:color="FFFFFF"/>
              <w:right w:val="single"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w:t>
            </w:r>
          </w:p>
        </w:tc>
        <w:tc>
          <w:tcPr>
            <w:tcW w:w="3780" w:type="dxa"/>
            <w:tcBorders>
              <w:top w:val="nil"/>
              <w:left w:val="nil"/>
              <w:bottom w:val="dashed" w:sz="8" w:space="0" w:color="auto"/>
              <w:right w:val="single"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jc w:val="center"/>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w:t>
            </w:r>
          </w:p>
        </w:tc>
      </w:tr>
    </w:tbl>
    <w:p w:rsidR="00CE2E68" w:rsidRPr="00CE2E68" w:rsidRDefault="00CE2E68" w:rsidP="00CE2E68">
      <w:pPr>
        <w:shd w:val="clear" w:color="auto" w:fill="FFFFFF"/>
        <w:spacing w:after="0" w:line="240" w:lineRule="atLeast"/>
        <w:ind w:firstLine="709"/>
        <w:jc w:val="center"/>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işinin bitirildiğine ilişkin yüklenici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w:t>
      </w:r>
      <w:proofErr w:type="spellStart"/>
      <w:r w:rsidRPr="00CE2E68">
        <w:rPr>
          <w:rFonts w:ascii="Arial" w:eastAsia="Times New Roman" w:hAnsi="Arial" w:cs="Arial"/>
          <w:color w:val="1C283D"/>
          <w:sz w:val="20"/>
          <w:szCs w:val="20"/>
        </w:rPr>
        <w:t>ın</w:t>
      </w:r>
      <w:proofErr w:type="spellEnd"/>
      <w:r w:rsidRPr="00CE2E68">
        <w:rPr>
          <w:rFonts w:ascii="Arial" w:eastAsia="Times New Roman" w:hAnsi="Arial" w:cs="Arial"/>
          <w:color w:val="1C283D"/>
          <w:sz w:val="20"/>
          <w:szCs w:val="20"/>
        </w:rPr>
        <w:t xml:space="preserve"> verdiği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tarihli dilekçe üzerine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w:t>
      </w:r>
      <w:proofErr w:type="spellStart"/>
      <w:r w:rsidRPr="00CE2E68">
        <w:rPr>
          <w:rFonts w:ascii="Arial" w:eastAsia="Times New Roman" w:hAnsi="Arial" w:cs="Arial"/>
          <w:color w:val="1C283D"/>
          <w:sz w:val="20"/>
          <w:szCs w:val="20"/>
        </w:rPr>
        <w:t>ın</w:t>
      </w:r>
      <w:proofErr w:type="spellEnd"/>
      <w:r w:rsidRPr="00CE2E68">
        <w:rPr>
          <w:rFonts w:ascii="Arial" w:eastAsia="Times New Roman" w:hAnsi="Arial" w:cs="Arial"/>
          <w:color w:val="1C283D"/>
          <w:sz w:val="20"/>
          <w:szCs w:val="20"/>
        </w:rPr>
        <w:t xml:space="preserve"> talimatı ile, yukarıda yazılı işin ön incelemesi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w:t>
      </w:r>
      <w:proofErr w:type="gramStart"/>
      <w:r w:rsidRPr="00CE2E68">
        <w:rPr>
          <w:rFonts w:ascii="Arial" w:eastAsia="Times New Roman" w:hAnsi="Arial" w:cs="Arial"/>
          <w:color w:val="1C283D"/>
          <w:sz w:val="20"/>
          <w:szCs w:val="20"/>
        </w:rPr>
        <w:t>tarihinde</w:t>
      </w:r>
      <w:proofErr w:type="gramEnd"/>
      <w:r w:rsidRPr="00CE2E68">
        <w:rPr>
          <w:rFonts w:ascii="Arial" w:eastAsia="Times New Roman" w:hAnsi="Arial" w:cs="Arial"/>
          <w:color w:val="1C283D"/>
          <w:sz w:val="20"/>
          <w:szCs w:val="20"/>
        </w:rPr>
        <w:t xml:space="preserve"> tarafımızdan/tarafımdan yapılmış, işin sözleşmesine uygun olarak tamamlandığı/tamamlanmadığı ve kabule hazır olduğu/olmadığı tespit edilmiştir.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Gereğinin yapılmasını arz ederim/ederiz.</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right"/>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Tarih : </w:t>
      </w:r>
      <w:proofErr w:type="gramStart"/>
      <w:r w:rsidRPr="00CE2E68">
        <w:rPr>
          <w:rFonts w:ascii="Arial" w:eastAsia="Times New Roman" w:hAnsi="Arial" w:cs="Arial"/>
          <w:color w:val="1C283D"/>
          <w:sz w:val="20"/>
          <w:szCs w:val="20"/>
        </w:rPr>
        <w:t>.........................</w:t>
      </w:r>
      <w:proofErr w:type="gramEnd"/>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Görevli veya görevlilerin;</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Adı Soyadı ve </w:t>
      </w:r>
      <w:proofErr w:type="gramStart"/>
      <w:r w:rsidRPr="00CE2E68">
        <w:rPr>
          <w:rFonts w:ascii="Arial" w:eastAsia="Times New Roman" w:hAnsi="Arial" w:cs="Arial"/>
          <w:color w:val="1C283D"/>
          <w:sz w:val="20"/>
          <w:szCs w:val="20"/>
        </w:rPr>
        <w:t>İmzaları   :</w:t>
      </w:r>
      <w:proofErr w:type="gramEnd"/>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Görev </w:t>
      </w:r>
      <w:proofErr w:type="spellStart"/>
      <w:proofErr w:type="gramStart"/>
      <w:r w:rsidRPr="00CE2E68">
        <w:rPr>
          <w:rFonts w:ascii="Arial" w:eastAsia="Times New Roman" w:hAnsi="Arial" w:cs="Arial"/>
          <w:color w:val="1C283D"/>
          <w:sz w:val="20"/>
          <w:szCs w:val="20"/>
        </w:rPr>
        <w:t>ünvanları</w:t>
      </w:r>
      <w:proofErr w:type="spellEnd"/>
      <w:r w:rsidRPr="00CE2E68">
        <w:rPr>
          <w:rFonts w:ascii="Arial" w:eastAsia="Times New Roman" w:hAnsi="Arial" w:cs="Arial"/>
          <w:color w:val="1C283D"/>
          <w:sz w:val="20"/>
          <w:szCs w:val="20"/>
        </w:rPr>
        <w:t>              :</w:t>
      </w:r>
      <w:proofErr w:type="gramEnd"/>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(1) Kontrol Teşkilatı tarafından tespit edilen eksik veya kusurlu iş kısımlarına ilişkin bilgiler bir liste halinde bu belgeye eklenir.</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right"/>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right"/>
        <w:rPr>
          <w:rFonts w:ascii="Arial" w:eastAsia="Times New Roman" w:hAnsi="Arial" w:cs="Arial"/>
          <w:color w:val="1C283D"/>
          <w:sz w:val="15"/>
          <w:szCs w:val="15"/>
        </w:rPr>
      </w:pPr>
      <w:r w:rsidRPr="00CE2E68">
        <w:rPr>
          <w:rFonts w:ascii="Arial" w:eastAsia="Times New Roman" w:hAnsi="Arial" w:cs="Arial"/>
          <w:color w:val="808080"/>
          <w:sz w:val="20"/>
          <w:szCs w:val="20"/>
        </w:rPr>
        <w:t>Standart Form KİK056.0/H</w:t>
      </w:r>
    </w:p>
    <w:p w:rsidR="00CE2E68" w:rsidRPr="00CE2E68" w:rsidRDefault="00CE2E68" w:rsidP="00CE2E68">
      <w:pPr>
        <w:shd w:val="clear" w:color="auto" w:fill="FFFFFF"/>
        <w:spacing w:after="0" w:line="240" w:lineRule="atLeast"/>
        <w:ind w:firstLine="709"/>
        <w:jc w:val="right"/>
        <w:rPr>
          <w:rFonts w:ascii="Arial" w:eastAsia="Times New Roman" w:hAnsi="Arial" w:cs="Arial"/>
          <w:color w:val="1C283D"/>
          <w:sz w:val="15"/>
          <w:szCs w:val="15"/>
        </w:rPr>
      </w:pPr>
      <w:r w:rsidRPr="00CE2E68">
        <w:rPr>
          <w:rFonts w:ascii="Arial" w:eastAsia="Times New Roman" w:hAnsi="Arial" w:cs="Arial"/>
          <w:color w:val="808080"/>
          <w:sz w:val="20"/>
          <w:szCs w:val="20"/>
        </w:rPr>
        <w:t>Hizmet İşleri Kabul Teklif Belgesi</w:t>
      </w:r>
    </w:p>
    <w:p w:rsidR="00CE2E68" w:rsidRPr="00CE2E68" w:rsidRDefault="00CE2E68" w:rsidP="00CE2E68">
      <w:pPr>
        <w:spacing w:after="0" w:line="240" w:lineRule="auto"/>
        <w:rPr>
          <w:rFonts w:ascii="Times New Roman" w:eastAsia="Times New Roman" w:hAnsi="Times New Roman" w:cs="Times New Roman"/>
          <w:sz w:val="24"/>
          <w:szCs w:val="24"/>
        </w:rPr>
      </w:pPr>
      <w:r w:rsidRPr="00CE2E68">
        <w:rPr>
          <w:rFonts w:ascii="Times New Roman" w:eastAsia="Times New Roman" w:hAnsi="Times New Roman" w:cs="Times New Roman"/>
          <w:color w:val="1C283D"/>
          <w:sz w:val="20"/>
          <w:szCs w:val="20"/>
          <w:shd w:val="clear" w:color="auto" w:fill="FFFFFF"/>
        </w:rPr>
        <w:br w:type="textWrapping" w:clear="all"/>
      </w:r>
    </w:p>
    <w:p w:rsidR="00CE2E68" w:rsidRPr="00CE2E68" w:rsidRDefault="00CE2E68" w:rsidP="00CE2E68">
      <w:pPr>
        <w:shd w:val="clear" w:color="auto" w:fill="FFFFFF"/>
        <w:spacing w:after="0" w:line="240" w:lineRule="atLeast"/>
        <w:ind w:firstLine="709"/>
        <w:jc w:val="center"/>
        <w:rPr>
          <w:rFonts w:ascii="Arial" w:eastAsia="Times New Roman" w:hAnsi="Arial" w:cs="Arial"/>
          <w:color w:val="1C283D"/>
          <w:sz w:val="15"/>
          <w:szCs w:val="15"/>
        </w:rPr>
      </w:pPr>
      <w:r w:rsidRPr="00CE2E68">
        <w:rPr>
          <w:rFonts w:ascii="Arial" w:eastAsia="Times New Roman" w:hAnsi="Arial" w:cs="Arial"/>
          <w:b/>
          <w:bCs/>
          <w:color w:val="1C283D"/>
          <w:sz w:val="20"/>
        </w:rPr>
        <w:t>HİZMET İŞLERİ KABUL TUTANAĞI</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rPr>
        <w:t> </w:t>
      </w:r>
    </w:p>
    <w:tbl>
      <w:tblPr>
        <w:tblW w:w="8820" w:type="dxa"/>
        <w:tblInd w:w="250" w:type="dxa"/>
        <w:shd w:val="clear" w:color="auto" w:fill="FFFFFF"/>
        <w:tblCellMar>
          <w:left w:w="0" w:type="dxa"/>
          <w:right w:w="0" w:type="dxa"/>
        </w:tblCellMar>
        <w:tblLook w:val="04A0"/>
      </w:tblPr>
      <w:tblGrid>
        <w:gridCol w:w="5050"/>
        <w:gridCol w:w="742"/>
        <w:gridCol w:w="3028"/>
      </w:tblGrid>
      <w:tr w:rsidR="00CE2E68" w:rsidRPr="00CE2E68" w:rsidTr="00CE2E68">
        <w:tc>
          <w:tcPr>
            <w:tcW w:w="5050" w:type="dxa"/>
            <w:tcBorders>
              <w:top w:val="dashed" w:sz="8" w:space="0" w:color="FFFFFF"/>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İşin adı</w:t>
            </w:r>
          </w:p>
        </w:tc>
        <w:tc>
          <w:tcPr>
            <w:tcW w:w="742" w:type="dxa"/>
            <w:tcBorders>
              <w:top w:val="dashed" w:sz="8" w:space="0" w:color="FFFFFF"/>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dashed" w:sz="8" w:space="0" w:color="FFFFFF"/>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Yüklenicinin adı/ticari unvanı</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 tarihi</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 bedeli</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Sözleşmeye göre işin süresi(takvim günü)</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Sözleşmeye göre işin bitirilmesi gereken tarih</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Varsa süre uzatımları</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 xml:space="preserve">Süre uzatımı </w:t>
            </w:r>
            <w:proofErr w:type="gramStart"/>
            <w:r w:rsidRPr="00CE2E68">
              <w:rPr>
                <w:rFonts w:ascii="Times New Roman" w:eastAsia="Times New Roman" w:hAnsi="Times New Roman" w:cs="Times New Roman"/>
                <w:color w:val="1C283D"/>
                <w:sz w:val="20"/>
                <w:szCs w:val="20"/>
              </w:rPr>
              <w:t>dahil</w:t>
            </w:r>
            <w:proofErr w:type="gramEnd"/>
            <w:r w:rsidRPr="00CE2E68">
              <w:rPr>
                <w:rFonts w:ascii="Times New Roman" w:eastAsia="Times New Roman" w:hAnsi="Times New Roman" w:cs="Times New Roman"/>
                <w:color w:val="1C283D"/>
                <w:sz w:val="20"/>
                <w:szCs w:val="20"/>
              </w:rPr>
              <w:t xml:space="preserve"> işin bitirilmesi gereken tarih</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r w:rsidR="00CE2E68" w:rsidRPr="00CE2E68" w:rsidTr="00CE2E68">
        <w:tc>
          <w:tcPr>
            <w:tcW w:w="5050" w:type="dxa"/>
            <w:tcBorders>
              <w:top w:val="nil"/>
              <w:left w:val="dashed" w:sz="8" w:space="0" w:color="FFFFFF"/>
              <w:bottom w:val="dashed" w:sz="8" w:space="0" w:color="FFFFFF"/>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rPr>
                <w:rFonts w:ascii="Times New Roman" w:eastAsia="Times New Roman" w:hAnsi="Times New Roman" w:cs="Times New Roman"/>
                <w:color w:val="1C283D"/>
                <w:sz w:val="24"/>
                <w:szCs w:val="24"/>
              </w:rPr>
            </w:pPr>
            <w:r w:rsidRPr="00CE2E68">
              <w:rPr>
                <w:rFonts w:ascii="Times New Roman" w:eastAsia="Times New Roman" w:hAnsi="Times New Roman" w:cs="Times New Roman"/>
                <w:color w:val="1C283D"/>
                <w:sz w:val="20"/>
                <w:szCs w:val="20"/>
              </w:rPr>
              <w:t>İşin bitirildiği tarih</w:t>
            </w:r>
          </w:p>
        </w:tc>
        <w:tc>
          <w:tcPr>
            <w:tcW w:w="742" w:type="dxa"/>
            <w:tcBorders>
              <w:top w:val="nil"/>
              <w:left w:val="nil"/>
              <w:bottom w:val="dashed" w:sz="8" w:space="0" w:color="FFFFFF"/>
              <w:right w:val="dashed" w:sz="8" w:space="0" w:color="FFFFFF"/>
            </w:tcBorders>
            <w:shd w:val="clear" w:color="auto" w:fill="auto"/>
            <w:tcMar>
              <w:top w:w="0" w:type="dxa"/>
              <w:left w:w="70" w:type="dxa"/>
              <w:bottom w:w="0" w:type="dxa"/>
              <w:right w:w="70" w:type="dxa"/>
            </w:tcMar>
            <w:vAlign w:val="center"/>
            <w:hideMark/>
          </w:tcPr>
          <w:p w:rsidR="00CE2E68" w:rsidRPr="00CE2E68" w:rsidRDefault="00CE2E68" w:rsidP="00CE2E68">
            <w:pPr>
              <w:spacing w:after="0" w:line="240" w:lineRule="atLeast"/>
              <w:ind w:firstLine="709"/>
              <w:jc w:val="center"/>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w:t>
            </w:r>
          </w:p>
        </w:tc>
        <w:tc>
          <w:tcPr>
            <w:tcW w:w="3028" w:type="dxa"/>
            <w:tcBorders>
              <w:top w:val="nil"/>
              <w:left w:val="nil"/>
              <w:bottom w:val="dashed" w:sz="8" w:space="0" w:color="auto"/>
              <w:right w:val="dashed" w:sz="8" w:space="0" w:color="FFFFFF"/>
            </w:tcBorders>
            <w:shd w:val="clear" w:color="auto" w:fill="auto"/>
            <w:tcMar>
              <w:top w:w="0" w:type="dxa"/>
              <w:left w:w="70" w:type="dxa"/>
              <w:bottom w:w="0" w:type="dxa"/>
              <w:right w:w="70" w:type="dxa"/>
            </w:tcMar>
            <w:hideMark/>
          </w:tcPr>
          <w:p w:rsidR="00CE2E68" w:rsidRPr="00CE2E68" w:rsidRDefault="00CE2E68" w:rsidP="00CE2E68">
            <w:pPr>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b/>
                <w:bCs/>
                <w:color w:val="1C283D"/>
                <w:kern w:val="36"/>
                <w:sz w:val="20"/>
                <w:szCs w:val="20"/>
              </w:rPr>
              <w:t> </w:t>
            </w:r>
          </w:p>
        </w:tc>
      </w:tr>
    </w:tbl>
    <w:p w:rsidR="00CE2E68" w:rsidRPr="00CE2E68" w:rsidRDefault="00CE2E68" w:rsidP="00CE2E68">
      <w:pPr>
        <w:shd w:val="clear" w:color="auto" w:fill="FFFFFF"/>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 </w:t>
      </w:r>
    </w:p>
    <w:p w:rsidR="00CE2E68" w:rsidRPr="00CE2E68" w:rsidRDefault="00CE2E68" w:rsidP="00CE2E68">
      <w:pPr>
        <w:shd w:val="clear" w:color="auto" w:fill="FFFFFF"/>
        <w:spacing w:after="0" w:line="240" w:lineRule="atLeast"/>
        <w:ind w:firstLine="709"/>
        <w:outlineLvl w:val="0"/>
        <w:rPr>
          <w:rFonts w:ascii="Arial" w:eastAsia="Times New Roman" w:hAnsi="Arial" w:cs="Arial"/>
          <w:b/>
          <w:bCs/>
          <w:color w:val="1C283D"/>
          <w:kern w:val="36"/>
          <w:sz w:val="48"/>
          <w:szCs w:val="48"/>
        </w:rPr>
      </w:pPr>
      <w:r w:rsidRPr="00CE2E68">
        <w:rPr>
          <w:rFonts w:ascii="Arial" w:eastAsia="Times New Roman" w:hAnsi="Arial" w:cs="Arial"/>
          <w:color w:val="1C283D"/>
          <w:kern w:val="36"/>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proofErr w:type="gramStart"/>
      <w:r w:rsidRPr="00CE2E68">
        <w:rPr>
          <w:rFonts w:ascii="Arial" w:eastAsia="Times New Roman" w:hAnsi="Arial" w:cs="Arial"/>
          <w:color w:val="1C283D"/>
          <w:sz w:val="20"/>
          <w:szCs w:val="20"/>
        </w:rPr>
        <w:lastRenderedPageBreak/>
        <w:t>.............................................</w:t>
      </w:r>
      <w:proofErr w:type="gramEnd"/>
      <w:r w:rsidRPr="00CE2E68">
        <w:rPr>
          <w:rFonts w:ascii="Arial" w:eastAsia="Times New Roman" w:hAnsi="Arial" w:cs="Arial"/>
          <w:color w:val="1C283D"/>
          <w:sz w:val="20"/>
          <w:szCs w:val="20"/>
        </w:rPr>
        <w:t xml:space="preserve"> ile yüklenici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arasında imzalanan sözleşme kapsamında gerçekleştirilen iş için düzenlenen KABUL TEKLİF BELGESİ </w:t>
      </w:r>
      <w:proofErr w:type="spellStart"/>
      <w:r w:rsidRPr="00CE2E68">
        <w:rPr>
          <w:rFonts w:ascii="Arial" w:eastAsia="Times New Roman" w:hAnsi="Arial" w:cs="Arial"/>
          <w:color w:val="1C283D"/>
          <w:sz w:val="20"/>
          <w:szCs w:val="20"/>
        </w:rPr>
        <w:t>nden</w:t>
      </w:r>
      <w:proofErr w:type="spellEnd"/>
      <w:r w:rsidRPr="00CE2E68">
        <w:rPr>
          <w:rFonts w:ascii="Arial" w:eastAsia="Times New Roman" w:hAnsi="Arial" w:cs="Arial"/>
          <w:color w:val="1C283D"/>
          <w:sz w:val="20"/>
          <w:szCs w:val="20"/>
        </w:rPr>
        <w:t xml:space="preserve">  ön incelemenin yapıldığı anlaşılmış olup;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tarihli makam oluru ile; Başkan  ................................... Üye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Üye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Üye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olmak üzere  teşkil edilen MUAYENE VE KABUL KOMİSYONUMUZ, kontrol teşkilatı ve yüklenici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 de hazır olduğu halde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-............................tarihleri arasında işyerine (kabul için öngörülen yere)  giderek yüklenici tarafından yapılmış işleri kabul bakımından incelemiş ve aşağıda yazılı hususları tespit etmiştir.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Yapılan işin sözleşme ve eklerine uygun olduğu ve kabule engel olabilecek eksik, kusur ve arızaların bulunmadığı görülmüştür.</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ANCAK(</w:t>
      </w:r>
      <w:r w:rsidRPr="00CE2E68">
        <w:rPr>
          <w:rFonts w:ascii="Arial" w:eastAsia="Times New Roman" w:hAnsi="Arial" w:cs="Arial"/>
          <w:color w:val="1C283D"/>
          <w:sz w:val="20"/>
          <w:szCs w:val="20"/>
          <w:vertAlign w:val="superscript"/>
        </w:rPr>
        <w:t>1</w:t>
      </w:r>
      <w:r w:rsidRPr="00CE2E68">
        <w:rPr>
          <w:rFonts w:ascii="Arial" w:eastAsia="Times New Roman" w:hAnsi="Arial" w:cs="Arial"/>
          <w:color w:val="1C283D"/>
          <w:sz w:val="20"/>
          <w:szCs w:val="20"/>
        </w:rPr>
        <w:t>)</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xml:space="preserve">SONUÇ: Kabul bakımından muayene ve inceleme işlemlerinin yapılması görevi Komisyonumuza verilmiş bulunan söz konusu işin yukarıda belirtilen (varsa ayrıntıları veya gerekçeleri ekli sayfalarda sayılan ve gösterilen)kayıtlarla ve bitim tarihi de </w:t>
      </w:r>
      <w:proofErr w:type="gramStart"/>
      <w:r w:rsidRPr="00CE2E68">
        <w:rPr>
          <w:rFonts w:ascii="Arial" w:eastAsia="Times New Roman" w:hAnsi="Arial" w:cs="Arial"/>
          <w:color w:val="1C283D"/>
          <w:sz w:val="20"/>
          <w:szCs w:val="20"/>
        </w:rPr>
        <w:t>...................</w:t>
      </w:r>
      <w:proofErr w:type="gramEnd"/>
      <w:r w:rsidRPr="00CE2E68">
        <w:rPr>
          <w:rFonts w:ascii="Arial" w:eastAsia="Times New Roman" w:hAnsi="Arial" w:cs="Arial"/>
          <w:color w:val="1C283D"/>
          <w:sz w:val="20"/>
          <w:szCs w:val="20"/>
        </w:rPr>
        <w:t xml:space="preserve">olarak itibar edilmek üzere kabulünün yapılması Komisyonumuzca uygun görülmüş  ve...................Makamın onayına sunulmak üzere işbu Kabul Tutanağı ……….. </w:t>
      </w:r>
      <w:proofErr w:type="gramStart"/>
      <w:r w:rsidRPr="00CE2E68">
        <w:rPr>
          <w:rFonts w:ascii="Arial" w:eastAsia="Times New Roman" w:hAnsi="Arial" w:cs="Arial"/>
          <w:color w:val="1C283D"/>
          <w:sz w:val="20"/>
          <w:szCs w:val="20"/>
        </w:rPr>
        <w:t>nüsha</w:t>
      </w:r>
      <w:proofErr w:type="gramEnd"/>
      <w:r w:rsidRPr="00CE2E68">
        <w:rPr>
          <w:rFonts w:ascii="Arial" w:eastAsia="Times New Roman" w:hAnsi="Arial" w:cs="Arial"/>
          <w:color w:val="1C283D"/>
          <w:sz w:val="20"/>
          <w:szCs w:val="20"/>
        </w:rPr>
        <w:t xml:space="preserve"> olarak düzenlenmiştir.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Tarih</w:t>
      </w:r>
      <w:proofErr w:type="gramStart"/>
      <w:r w:rsidRPr="00CE2E68">
        <w:rPr>
          <w:rFonts w:ascii="Arial" w:eastAsia="Times New Roman" w:hAnsi="Arial" w:cs="Arial"/>
          <w:color w:val="1C283D"/>
          <w:sz w:val="20"/>
          <w:szCs w:val="20"/>
        </w:rPr>
        <w:t>..............................</w:t>
      </w:r>
      <w:proofErr w:type="gramEnd"/>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b/>
          <w:bCs/>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MUAYENE VE KABUL KOMİSYONU                                             Yüklenicinin Adı, Soyadı veya  </w:t>
      </w:r>
      <w:proofErr w:type="gramStart"/>
      <w:r w:rsidRPr="00CE2E68">
        <w:rPr>
          <w:rFonts w:ascii="Arial" w:eastAsia="Times New Roman" w:hAnsi="Arial" w:cs="Arial"/>
          <w:color w:val="1C283D"/>
          <w:sz w:val="20"/>
          <w:szCs w:val="20"/>
        </w:rPr>
        <w:t>Adı,Soyadı</w:t>
      </w:r>
      <w:proofErr w:type="gramEnd"/>
      <w:r w:rsidRPr="00CE2E68">
        <w:rPr>
          <w:rFonts w:ascii="Arial" w:eastAsia="Times New Roman" w:hAnsi="Arial" w:cs="Arial"/>
          <w:color w:val="1C283D"/>
          <w:sz w:val="20"/>
          <w:szCs w:val="20"/>
        </w:rPr>
        <w:t>, Meslek ve Görev Unvanları, İmzaları                                     ticaret unvanı ve İmzası</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Kabul Tutanağının onay tarihi</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Yetkili makamın imzası</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rPr>
          <w:rFonts w:ascii="Arial" w:eastAsia="Times New Roman" w:hAnsi="Arial" w:cs="Arial"/>
          <w:color w:val="1C283D"/>
          <w:sz w:val="15"/>
          <w:szCs w:val="15"/>
        </w:rPr>
      </w:pPr>
      <w:r w:rsidRPr="00CE2E68">
        <w:rPr>
          <w:rFonts w:ascii="Arial" w:eastAsia="Times New Roman" w:hAnsi="Arial" w:cs="Arial"/>
          <w:color w:val="1C283D"/>
          <w:sz w:val="20"/>
          <w:szCs w:val="20"/>
        </w:rPr>
        <w:t> </w:t>
      </w:r>
    </w:p>
    <w:p w:rsidR="00CE2E68" w:rsidRPr="00CE2E68" w:rsidRDefault="00CE2E68" w:rsidP="00CE2E68">
      <w:pPr>
        <w:shd w:val="clear" w:color="auto" w:fill="FFFFFF"/>
        <w:spacing w:after="0" w:line="240" w:lineRule="atLeast"/>
        <w:ind w:firstLine="709"/>
        <w:jc w:val="both"/>
        <w:rPr>
          <w:rFonts w:ascii="Arial" w:eastAsia="Times New Roman" w:hAnsi="Arial" w:cs="Arial"/>
          <w:color w:val="1C283D"/>
          <w:sz w:val="15"/>
          <w:szCs w:val="15"/>
        </w:rPr>
      </w:pPr>
      <w:r w:rsidRPr="00CE2E68">
        <w:rPr>
          <w:rFonts w:ascii="Arial" w:eastAsia="Times New Roman" w:hAnsi="Arial" w:cs="Arial"/>
          <w:color w:val="1C283D"/>
          <w:sz w:val="20"/>
          <w:szCs w:val="20"/>
        </w:rPr>
        <w:t>(1)    Buraya muayene ve kabul komisyonu üyelerinin düşünceleri ile varsa kusur ve noksanların kaç maddeden ibaret olduğu, tamamlanması için gereken süre yazılacaktır.</w:t>
      </w:r>
    </w:p>
    <w:p w:rsidR="00000000" w:rsidRDefault="00CE2E68"/>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E2E68"/>
    <w:rsid w:val="00CE2E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E2E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CE2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CE2E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CE2E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5">
    <w:name w:val="heading 5"/>
    <w:basedOn w:val="Normal"/>
    <w:link w:val="Balk5Char"/>
    <w:uiPriority w:val="9"/>
    <w:qFormat/>
    <w:rsid w:val="00CE2E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Balk6">
    <w:name w:val="heading 6"/>
    <w:basedOn w:val="Normal"/>
    <w:link w:val="Balk6Char"/>
    <w:uiPriority w:val="9"/>
    <w:qFormat/>
    <w:rsid w:val="00CE2E68"/>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Balk8">
    <w:name w:val="heading 8"/>
    <w:basedOn w:val="Normal"/>
    <w:link w:val="Balk8Char"/>
    <w:uiPriority w:val="9"/>
    <w:qFormat/>
    <w:rsid w:val="00CE2E68"/>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2E68"/>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CE2E68"/>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CE2E68"/>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CE2E68"/>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9"/>
    <w:rsid w:val="00CE2E68"/>
    <w:rPr>
      <w:rFonts w:ascii="Times New Roman" w:eastAsia="Times New Roman" w:hAnsi="Times New Roman" w:cs="Times New Roman"/>
      <w:b/>
      <w:bCs/>
      <w:sz w:val="20"/>
      <w:szCs w:val="20"/>
    </w:rPr>
  </w:style>
  <w:style w:type="character" w:customStyle="1" w:styleId="Balk6Char">
    <w:name w:val="Başlık 6 Char"/>
    <w:basedOn w:val="VarsaylanParagrafYazTipi"/>
    <w:link w:val="Balk6"/>
    <w:uiPriority w:val="9"/>
    <w:rsid w:val="00CE2E68"/>
    <w:rPr>
      <w:rFonts w:ascii="Times New Roman" w:eastAsia="Times New Roman" w:hAnsi="Times New Roman" w:cs="Times New Roman"/>
      <w:b/>
      <w:bCs/>
      <w:sz w:val="15"/>
      <w:szCs w:val="15"/>
    </w:rPr>
  </w:style>
  <w:style w:type="character" w:customStyle="1" w:styleId="Balk8Char">
    <w:name w:val="Başlık 8 Char"/>
    <w:basedOn w:val="VarsaylanParagrafYazTipi"/>
    <w:link w:val="Balk8"/>
    <w:uiPriority w:val="9"/>
    <w:rsid w:val="00CE2E68"/>
    <w:rPr>
      <w:rFonts w:ascii="Times New Roman" w:eastAsia="Times New Roman" w:hAnsi="Times New Roman" w:cs="Times New Roman"/>
      <w:sz w:val="24"/>
      <w:szCs w:val="24"/>
    </w:rPr>
  </w:style>
  <w:style w:type="character" w:styleId="Gl">
    <w:name w:val="Strong"/>
    <w:basedOn w:val="VarsaylanParagrafYazTipi"/>
    <w:uiPriority w:val="22"/>
    <w:qFormat/>
    <w:rsid w:val="00CE2E68"/>
    <w:rPr>
      <w:b/>
      <w:bCs/>
    </w:rPr>
  </w:style>
  <w:style w:type="paragraph" w:styleId="GvdeMetniGirintisi">
    <w:name w:val="Body Text Indent"/>
    <w:basedOn w:val="Normal"/>
    <w:link w:val="GvdeMetniGirintisiChar"/>
    <w:uiPriority w:val="99"/>
    <w:semiHidden/>
    <w:unhideWhenUsed/>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CE2E68"/>
    <w:rPr>
      <w:rFonts w:ascii="Times New Roman" w:eastAsia="Times New Roman" w:hAnsi="Times New Roman" w:cs="Times New Roman"/>
      <w:sz w:val="24"/>
      <w:szCs w:val="24"/>
    </w:rPr>
  </w:style>
  <w:style w:type="paragraph" w:styleId="GvdeMetni">
    <w:name w:val="Body Text"/>
    <w:basedOn w:val="Normal"/>
    <w:link w:val="GvdeMetniChar"/>
    <w:uiPriority w:val="99"/>
    <w:semiHidden/>
    <w:unhideWhenUsed/>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CE2E68"/>
    <w:rPr>
      <w:rFonts w:ascii="Times New Roman" w:eastAsia="Times New Roman" w:hAnsi="Times New Roman" w:cs="Times New Roman"/>
      <w:sz w:val="24"/>
      <w:szCs w:val="24"/>
    </w:rPr>
  </w:style>
  <w:style w:type="paragraph" w:styleId="Altbilgi">
    <w:name w:val="footer"/>
    <w:basedOn w:val="Normal"/>
    <w:link w:val="AltbilgiChar"/>
    <w:uiPriority w:val="99"/>
    <w:semiHidden/>
    <w:unhideWhenUsed/>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semiHidden/>
    <w:rsid w:val="00CE2E68"/>
    <w:rPr>
      <w:rFonts w:ascii="Times New Roman" w:eastAsia="Times New Roman" w:hAnsi="Times New Roman" w:cs="Times New Roman"/>
      <w:sz w:val="24"/>
      <w:szCs w:val="24"/>
    </w:rPr>
  </w:style>
  <w:style w:type="paragraph" w:styleId="KonuBal">
    <w:name w:val="Title"/>
    <w:basedOn w:val="Normal"/>
    <w:link w:val="KonuBalChar"/>
    <w:uiPriority w:val="10"/>
    <w:qFormat/>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nuBalChar">
    <w:name w:val="Konu Başlığı Char"/>
    <w:basedOn w:val="VarsaylanParagrafYazTipi"/>
    <w:link w:val="KonuBal"/>
    <w:uiPriority w:val="10"/>
    <w:rsid w:val="00CE2E68"/>
    <w:rPr>
      <w:rFonts w:ascii="Times New Roman" w:eastAsia="Times New Roman" w:hAnsi="Times New Roman" w:cs="Times New Roman"/>
      <w:sz w:val="24"/>
      <w:szCs w:val="24"/>
    </w:rPr>
  </w:style>
  <w:style w:type="paragraph" w:styleId="AltKonuBal">
    <w:name w:val="Subtitle"/>
    <w:basedOn w:val="Normal"/>
    <w:link w:val="AltKonuBalChar"/>
    <w:uiPriority w:val="11"/>
    <w:qFormat/>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KonuBalChar">
    <w:name w:val="Alt Konu Başlığı Char"/>
    <w:basedOn w:val="VarsaylanParagrafYazTipi"/>
    <w:link w:val="AltKonuBal"/>
    <w:uiPriority w:val="11"/>
    <w:rsid w:val="00CE2E68"/>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CE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CE2E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1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10482</Characters>
  <Application>Microsoft Office Word</Application>
  <DocSecurity>0</DocSecurity>
  <Lines>87</Lines>
  <Paragraphs>24</Paragraphs>
  <ScaleCrop>false</ScaleCrop>
  <Company>Silentall Unattended Installer</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2019-02-13T05:46:00Z</dcterms:created>
  <dcterms:modified xsi:type="dcterms:W3CDTF">2019-02-13T05:46:00Z</dcterms:modified>
</cp:coreProperties>
</file>